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B2FB" w14:textId="77777777" w:rsidR="004713B0" w:rsidRPr="007244FE" w:rsidRDefault="004713B0" w:rsidP="007244FE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7244FE">
        <w:rPr>
          <w:b/>
          <w:bCs/>
          <w:color w:val="FF0000"/>
          <w:sz w:val="28"/>
          <w:szCs w:val="28"/>
        </w:rPr>
        <w:t>Página da Receita Estadual</w:t>
      </w:r>
    </w:p>
    <w:p w14:paraId="7C720C69" w14:textId="77777777" w:rsidR="007244FE" w:rsidRDefault="007244FE" w:rsidP="004713B0">
      <w:pPr>
        <w:jc w:val="center"/>
        <w:rPr>
          <w:b/>
          <w:bCs/>
        </w:rPr>
      </w:pPr>
    </w:p>
    <w:p w14:paraId="5E201E19" w14:textId="1DCDD506" w:rsidR="004713B0" w:rsidRPr="007244FE" w:rsidRDefault="004713B0" w:rsidP="007244F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244FE">
        <w:rPr>
          <w:b/>
          <w:bCs/>
          <w:sz w:val="28"/>
          <w:szCs w:val="28"/>
        </w:rPr>
        <w:t>DIMP - Declaração de Informações de Meios de Pagamento</w:t>
      </w:r>
    </w:p>
    <w:p w14:paraId="4458CD6E" w14:textId="77777777" w:rsidR="007244FE" w:rsidRDefault="007244FE" w:rsidP="004713B0">
      <w:pPr>
        <w:rPr>
          <w:b/>
          <w:bCs/>
        </w:rPr>
      </w:pPr>
    </w:p>
    <w:p w14:paraId="112F99E6" w14:textId="4EAF0B20" w:rsidR="004713B0" w:rsidRPr="00EF4685" w:rsidRDefault="004713B0" w:rsidP="004713B0">
      <w:pPr>
        <w:rPr>
          <w:b/>
          <w:bCs/>
        </w:rPr>
      </w:pPr>
      <w:r w:rsidRPr="00EF4685">
        <w:rPr>
          <w:b/>
          <w:bCs/>
        </w:rPr>
        <w:t>O que é a DIMP</w:t>
      </w:r>
    </w:p>
    <w:p w14:paraId="6A2FC6D9" w14:textId="77777777" w:rsidR="004713B0" w:rsidRPr="00AA3B79" w:rsidRDefault="004713B0" w:rsidP="004713B0">
      <w:pPr>
        <w:jc w:val="both"/>
      </w:pPr>
      <w:r w:rsidRPr="00AA3B79">
        <w:t xml:space="preserve">A Declaração de Informações de Meios de Pagamento (DIMP) é uma obrigação acessória prevista nos Atos </w:t>
      </w:r>
      <w:r>
        <w:t xml:space="preserve">de números </w:t>
      </w:r>
      <w:r w:rsidRPr="00AA3B79">
        <w:t>65/2018 e 63/2019</w:t>
      </w:r>
      <w:r>
        <w:t xml:space="preserve"> da Comissão Técnica Permanente do ICMS </w:t>
      </w:r>
      <w:r w:rsidRPr="00AA3B79">
        <w:t>(COTEPE</w:t>
      </w:r>
      <w:r>
        <w:t>/</w:t>
      </w:r>
      <w:r w:rsidRPr="00AA3B79">
        <w:t>ICMS)</w:t>
      </w:r>
      <w:r>
        <w:t>, vinculada ao Conselho Nacional de Política Fazendária (CONFAZ), q</w:t>
      </w:r>
      <w:r w:rsidRPr="00AA3B79">
        <w:t>ue regulamentam a prestação de informações pelas operadoras de meios de pagamento em todo o país.</w:t>
      </w:r>
    </w:p>
    <w:p w14:paraId="45EC58CF" w14:textId="53B033F6" w:rsidR="004713B0" w:rsidRPr="00EF4685" w:rsidRDefault="004713B0" w:rsidP="004713B0">
      <w:pPr>
        <w:jc w:val="both"/>
      </w:pPr>
      <w:r w:rsidRPr="00EF4685">
        <w:t xml:space="preserve">A DIMP é uma obrigação acessória com o objetivo de aprimorar o controle das transações comerciais realizadas </w:t>
      </w:r>
      <w:r w:rsidR="007275F0">
        <w:t xml:space="preserve">por meio </w:t>
      </w:r>
      <w:r w:rsidRPr="00EF4685">
        <w:t>de pagamento eletrônicos, como:</w:t>
      </w:r>
    </w:p>
    <w:p w14:paraId="1717DF35" w14:textId="77777777" w:rsidR="004713B0" w:rsidRPr="00EF4685" w:rsidRDefault="004713B0" w:rsidP="004713B0">
      <w:pPr>
        <w:numPr>
          <w:ilvl w:val="0"/>
          <w:numId w:val="5"/>
        </w:numPr>
      </w:pPr>
      <w:r w:rsidRPr="00EF4685">
        <w:t>Cartões de crédito;</w:t>
      </w:r>
    </w:p>
    <w:p w14:paraId="09DABE36" w14:textId="77777777" w:rsidR="004713B0" w:rsidRPr="00EF4685" w:rsidRDefault="004713B0" w:rsidP="004713B0">
      <w:pPr>
        <w:numPr>
          <w:ilvl w:val="0"/>
          <w:numId w:val="5"/>
        </w:numPr>
      </w:pPr>
      <w:r w:rsidRPr="00EF4685">
        <w:t>Cartões de débito;</w:t>
      </w:r>
    </w:p>
    <w:p w14:paraId="27BFDBCF" w14:textId="77777777" w:rsidR="004713B0" w:rsidRPr="00EF4685" w:rsidRDefault="004713B0" w:rsidP="004713B0">
      <w:pPr>
        <w:numPr>
          <w:ilvl w:val="0"/>
          <w:numId w:val="5"/>
        </w:numPr>
      </w:pPr>
      <w:r w:rsidRPr="00EF4685">
        <w:t>Cartões pré-pagos;</w:t>
      </w:r>
    </w:p>
    <w:p w14:paraId="066064E7" w14:textId="77777777" w:rsidR="004713B0" w:rsidRPr="00EF4685" w:rsidRDefault="004713B0" w:rsidP="004713B0">
      <w:pPr>
        <w:numPr>
          <w:ilvl w:val="0"/>
          <w:numId w:val="5"/>
        </w:numPr>
      </w:pPr>
      <w:r w:rsidRPr="00EF4685">
        <w:t>PIX;</w:t>
      </w:r>
    </w:p>
    <w:p w14:paraId="3B0B9715" w14:textId="77777777" w:rsidR="004713B0" w:rsidRPr="00EF4685" w:rsidRDefault="004713B0" w:rsidP="004713B0">
      <w:pPr>
        <w:numPr>
          <w:ilvl w:val="0"/>
          <w:numId w:val="5"/>
        </w:numPr>
      </w:pPr>
      <w:r w:rsidRPr="00EF4685">
        <w:t>Transferências eletrônicas;</w:t>
      </w:r>
    </w:p>
    <w:p w14:paraId="46AFDE10" w14:textId="77777777" w:rsidR="004713B0" w:rsidRPr="00EF4685" w:rsidRDefault="004713B0" w:rsidP="004713B0">
      <w:pPr>
        <w:numPr>
          <w:ilvl w:val="0"/>
          <w:numId w:val="5"/>
        </w:numPr>
      </w:pPr>
      <w:r w:rsidRPr="00EF4685">
        <w:t>Outros meios operados por instituições autorizadas.</w:t>
      </w:r>
    </w:p>
    <w:p w14:paraId="63E6F90E" w14:textId="238C380B" w:rsidR="004713B0" w:rsidRPr="00EF4685" w:rsidRDefault="004713B0" w:rsidP="004713B0">
      <w:pPr>
        <w:jc w:val="both"/>
      </w:pPr>
      <w:r w:rsidRPr="00EF4685">
        <w:t xml:space="preserve">As informações declaradas por operadoras e instituições de pagamento são utilizadas pela Receita </w:t>
      </w:r>
      <w:r>
        <w:t xml:space="preserve">Estadual </w:t>
      </w:r>
      <w:r w:rsidRPr="00EF4685">
        <w:t xml:space="preserve">para cruzamento com os documentos fiscais eletrônicos emitidos pelos contribuintes, </w:t>
      </w:r>
      <w:r>
        <w:t>promove</w:t>
      </w:r>
      <w:r w:rsidR="0065306C">
        <w:t>ndo</w:t>
      </w:r>
      <w:r w:rsidRPr="00EF4685">
        <w:t xml:space="preserve"> maior transparência e justiça fiscal.</w:t>
      </w:r>
    </w:p>
    <w:p w14:paraId="2EED87D9" w14:textId="77777777" w:rsidR="004713B0" w:rsidRDefault="004713B0" w:rsidP="004713B0">
      <w:pPr>
        <w:rPr>
          <w:b/>
          <w:bCs/>
        </w:rPr>
      </w:pPr>
    </w:p>
    <w:p w14:paraId="698149AD" w14:textId="52F9A801" w:rsidR="004713B0" w:rsidRPr="00EF4685" w:rsidRDefault="004713B0" w:rsidP="004713B0">
      <w:pPr>
        <w:rPr>
          <w:b/>
          <w:bCs/>
        </w:rPr>
      </w:pPr>
      <w:r w:rsidRPr="00EF4685">
        <w:rPr>
          <w:b/>
          <w:bCs/>
        </w:rPr>
        <w:t>Quem está obrigado a entregar a DIMP</w:t>
      </w:r>
    </w:p>
    <w:p w14:paraId="1FF45461" w14:textId="545DF2D6" w:rsidR="004713B0" w:rsidRPr="00EF4685" w:rsidRDefault="004713B0" w:rsidP="004713B0">
      <w:r w:rsidRPr="00EF4685">
        <w:t xml:space="preserve">Devem </w:t>
      </w:r>
      <w:r w:rsidR="00347DB7">
        <w:t>apresentar</w:t>
      </w:r>
      <w:r w:rsidRPr="00EF4685">
        <w:t xml:space="preserve"> a DIMP as seguintes entidades:</w:t>
      </w:r>
    </w:p>
    <w:p w14:paraId="7B55E19B" w14:textId="77777777" w:rsidR="004713B0" w:rsidRPr="00EF4685" w:rsidRDefault="004713B0" w:rsidP="00741865">
      <w:pPr>
        <w:numPr>
          <w:ilvl w:val="0"/>
          <w:numId w:val="6"/>
        </w:numPr>
        <w:jc w:val="both"/>
      </w:pPr>
      <w:r w:rsidRPr="00EF4685">
        <w:t>Administradoras de cartões de crédito e débito;</w:t>
      </w:r>
    </w:p>
    <w:p w14:paraId="28BCE561" w14:textId="77777777" w:rsidR="004713B0" w:rsidRPr="00EF4685" w:rsidRDefault="004713B0" w:rsidP="00741865">
      <w:pPr>
        <w:numPr>
          <w:ilvl w:val="0"/>
          <w:numId w:val="6"/>
        </w:numPr>
        <w:jc w:val="both"/>
      </w:pPr>
      <w:r w:rsidRPr="00EF4685">
        <w:t>Instituições de pagamento autorizadas pelo Banco Central (inclusive fintechs, subadquirentes e carteiras digitais);</w:t>
      </w:r>
    </w:p>
    <w:p w14:paraId="71B88DA1" w14:textId="77777777" w:rsidR="004713B0" w:rsidRPr="00EF4685" w:rsidRDefault="004713B0" w:rsidP="00741865">
      <w:pPr>
        <w:numPr>
          <w:ilvl w:val="0"/>
          <w:numId w:val="6"/>
        </w:numPr>
        <w:jc w:val="both"/>
      </w:pPr>
      <w:r w:rsidRPr="00EF4685">
        <w:t>Credenciadoras e subcredenciadoras de pagamento;</w:t>
      </w:r>
    </w:p>
    <w:p w14:paraId="501E600F" w14:textId="77777777" w:rsidR="004713B0" w:rsidRPr="00EF4685" w:rsidRDefault="004713B0" w:rsidP="00741865">
      <w:pPr>
        <w:numPr>
          <w:ilvl w:val="0"/>
          <w:numId w:val="6"/>
        </w:numPr>
        <w:jc w:val="both"/>
      </w:pPr>
      <w:r w:rsidRPr="00EF4685">
        <w:lastRenderedPageBreak/>
        <w:t>Outras instituições que intermedeiem pagamentos eletrônicos de bens e serviços.</w:t>
      </w:r>
    </w:p>
    <w:p w14:paraId="385801FB" w14:textId="77777777" w:rsidR="004713B0" w:rsidRDefault="004713B0" w:rsidP="00741865">
      <w:pPr>
        <w:jc w:val="both"/>
      </w:pPr>
      <w:r w:rsidRPr="00EF4685">
        <w:t>Essas entidades devem informar, mensalmente, os valores d</w:t>
      </w:r>
      <w:r>
        <w:t>as</w:t>
      </w:r>
      <w:r w:rsidRPr="00EF4685">
        <w:t xml:space="preserve"> transações realizadas </w:t>
      </w:r>
      <w:r w:rsidRPr="005E3CA5">
        <w:t xml:space="preserve">por pessoas físicas </w:t>
      </w:r>
      <w:r>
        <w:t>ou</w:t>
      </w:r>
      <w:r w:rsidRPr="005E3CA5">
        <w:t xml:space="preserve"> jurídicas, mesmo </w:t>
      </w:r>
      <w:r>
        <w:t xml:space="preserve">quando </w:t>
      </w:r>
      <w:r w:rsidRPr="005E3CA5">
        <w:t>não inscritas como contribuintes de ICMS.</w:t>
      </w:r>
    </w:p>
    <w:p w14:paraId="2D31AB6E" w14:textId="70F4CE30" w:rsidR="00EE0232" w:rsidRPr="00EF4685" w:rsidRDefault="00EE0232" w:rsidP="00EE0232">
      <w:pPr>
        <w:jc w:val="both"/>
      </w:pPr>
      <w:r w:rsidRPr="00F8593B">
        <w:rPr>
          <w:u w:val="single"/>
        </w:rPr>
        <w:t>Atenção</w:t>
      </w:r>
      <w:r w:rsidRPr="00F8593B">
        <w:t xml:space="preserve">: A DIMP não deve ser entregue pelos contribuintes do ICMS, mas sim pelas instituições </w:t>
      </w:r>
      <w:r w:rsidR="00A3170E">
        <w:t xml:space="preserve">listadas </w:t>
      </w:r>
      <w:r w:rsidR="00025A77">
        <w:t xml:space="preserve">acima </w:t>
      </w:r>
      <w:r w:rsidRPr="00F8593B">
        <w:t>que intermedeiam os pagamentos</w:t>
      </w:r>
      <w:r w:rsidR="00A3170E">
        <w:t xml:space="preserve"> eletrônicos</w:t>
      </w:r>
      <w:r w:rsidR="00025A77">
        <w:t>.</w:t>
      </w:r>
    </w:p>
    <w:p w14:paraId="2350CE8E" w14:textId="77777777" w:rsidR="004713B0" w:rsidRDefault="004713B0" w:rsidP="004713B0">
      <w:pPr>
        <w:rPr>
          <w:b/>
          <w:bCs/>
        </w:rPr>
      </w:pPr>
    </w:p>
    <w:p w14:paraId="6E10E54A" w14:textId="77777777" w:rsidR="004713B0" w:rsidRPr="00EF4685" w:rsidRDefault="004713B0" w:rsidP="004713B0">
      <w:pPr>
        <w:rPr>
          <w:b/>
          <w:bCs/>
        </w:rPr>
      </w:pPr>
      <w:r w:rsidRPr="00EF4685">
        <w:rPr>
          <w:b/>
          <w:bCs/>
        </w:rPr>
        <w:t>Tipos de DIMP</w:t>
      </w:r>
    </w:p>
    <w:p w14:paraId="19394192" w14:textId="114870CF" w:rsidR="004713B0" w:rsidRPr="00EF4685" w:rsidRDefault="004713B0" w:rsidP="004713B0">
      <w:pPr>
        <w:jc w:val="both"/>
      </w:pPr>
      <w:r>
        <w:t>A</w:t>
      </w:r>
      <w:r w:rsidRPr="00EF4685">
        <w:t xml:space="preserve"> DIMP pode </w:t>
      </w:r>
      <w:r w:rsidR="004C0F77">
        <w:t xml:space="preserve">apresentar </w:t>
      </w:r>
      <w:r w:rsidRPr="00EF4685">
        <w:t>diferentes tipos ou layouts, dependendo da natureza d</w:t>
      </w:r>
      <w:r>
        <w:t>a instituição declarante</w:t>
      </w:r>
      <w:r w:rsidRPr="00EF4685">
        <w:t>. Entre os mais comuns, destacam-se:</w:t>
      </w:r>
    </w:p>
    <w:p w14:paraId="449530EA" w14:textId="11785AD9" w:rsidR="004713B0" w:rsidRPr="00EF4685" w:rsidRDefault="004713B0" w:rsidP="00741865">
      <w:pPr>
        <w:numPr>
          <w:ilvl w:val="0"/>
          <w:numId w:val="7"/>
        </w:numPr>
        <w:jc w:val="both"/>
      </w:pPr>
      <w:r w:rsidRPr="00EF4685">
        <w:t>DIMP-Credenciadoras: enviada por administradoras e adquirentes com dados detalhados sobre as transações com cartões</w:t>
      </w:r>
      <w:r w:rsidR="003C13B4">
        <w:t>;</w:t>
      </w:r>
    </w:p>
    <w:p w14:paraId="2A8267A9" w14:textId="6C10E47A" w:rsidR="004713B0" w:rsidRPr="00EF4685" w:rsidRDefault="004713B0" w:rsidP="00741865">
      <w:pPr>
        <w:numPr>
          <w:ilvl w:val="0"/>
          <w:numId w:val="7"/>
        </w:numPr>
        <w:jc w:val="both"/>
      </w:pPr>
      <w:r w:rsidRPr="00EF4685">
        <w:t>DIMP-Subcredenciadoras: enviada por subadquirentes e facilitadoras de pagamento</w:t>
      </w:r>
      <w:r w:rsidR="003C13B4">
        <w:t>;</w:t>
      </w:r>
    </w:p>
    <w:p w14:paraId="67CF9263" w14:textId="77777777" w:rsidR="004713B0" w:rsidRPr="00EF4685" w:rsidRDefault="004713B0" w:rsidP="00741865">
      <w:pPr>
        <w:numPr>
          <w:ilvl w:val="0"/>
          <w:numId w:val="7"/>
        </w:numPr>
        <w:jc w:val="both"/>
      </w:pPr>
      <w:r w:rsidRPr="00EF4685">
        <w:t>DIMP-Pagamentos Eletrônicos: contempla operações com carteiras digitais, PIX e outras formas de pagamento eletrônico fora do sistema tradicional de cartões.</w:t>
      </w:r>
    </w:p>
    <w:p w14:paraId="212FD18F" w14:textId="77777777" w:rsidR="004713B0" w:rsidRDefault="004713B0" w:rsidP="004713B0">
      <w:pPr>
        <w:rPr>
          <w:b/>
          <w:bCs/>
        </w:rPr>
      </w:pPr>
    </w:p>
    <w:p w14:paraId="42871C83" w14:textId="77777777" w:rsidR="004713B0" w:rsidRPr="00EF4685" w:rsidRDefault="004713B0" w:rsidP="004713B0">
      <w:pPr>
        <w:rPr>
          <w:b/>
          <w:bCs/>
        </w:rPr>
      </w:pPr>
      <w:r w:rsidRPr="00EF4685">
        <w:rPr>
          <w:b/>
          <w:bCs/>
        </w:rPr>
        <w:t>Prazo de entrega da DIMP</w:t>
      </w:r>
    </w:p>
    <w:p w14:paraId="545DA4F5" w14:textId="1E738C49" w:rsidR="004713B0" w:rsidRPr="00EF4685" w:rsidRDefault="004713B0" w:rsidP="004713B0">
      <w:pPr>
        <w:jc w:val="both"/>
      </w:pPr>
      <w:r w:rsidRPr="00EF4685">
        <w:t xml:space="preserve">A DIMP deve ser enviada </w:t>
      </w:r>
      <w:r w:rsidR="001B47D4">
        <w:t>a</w:t>
      </w:r>
      <w:r w:rsidRPr="00EF4685">
        <w:t xml:space="preserve">té o </w:t>
      </w:r>
      <w:r w:rsidR="004149A3">
        <w:t xml:space="preserve">último dia do mês subsequente </w:t>
      </w:r>
      <w:r w:rsidR="004642C1">
        <w:t>ao da ocorrência das transações</w:t>
      </w:r>
      <w:r w:rsidRPr="00EF4685">
        <w:t>.</w:t>
      </w:r>
      <w:r>
        <w:t xml:space="preserve"> </w:t>
      </w:r>
      <w:r w:rsidRPr="00EF4685">
        <w:t xml:space="preserve">Caso </w:t>
      </w:r>
      <w:r w:rsidR="007917C1">
        <w:t xml:space="preserve">essa data </w:t>
      </w:r>
      <w:r w:rsidRPr="00EF4685">
        <w:t>recaia em fim de semana ou feriado, o vencimento é prorrogado para o dia útil seguinte.</w:t>
      </w:r>
    </w:p>
    <w:p w14:paraId="278E1CE7" w14:textId="77777777" w:rsidR="004713B0" w:rsidRDefault="004713B0" w:rsidP="004713B0">
      <w:pPr>
        <w:jc w:val="both"/>
      </w:pPr>
      <w:r w:rsidRPr="00EF4685">
        <w:t>O envio fora do prazo, com dados inconsistentes ou em desacordo com os layouts exigidos, pode acarretar penalidades administrativas.</w:t>
      </w:r>
    </w:p>
    <w:p w14:paraId="11F791DA" w14:textId="77777777" w:rsidR="004713B0" w:rsidRDefault="004713B0" w:rsidP="004713B0">
      <w:pPr>
        <w:rPr>
          <w:b/>
          <w:bCs/>
        </w:rPr>
      </w:pPr>
    </w:p>
    <w:p w14:paraId="61A31A0E" w14:textId="77777777" w:rsidR="004713B0" w:rsidRPr="00EF4685" w:rsidRDefault="004713B0" w:rsidP="004713B0">
      <w:pPr>
        <w:rPr>
          <w:b/>
          <w:bCs/>
        </w:rPr>
      </w:pPr>
      <w:r w:rsidRPr="00EF4685">
        <w:rPr>
          <w:b/>
          <w:bCs/>
        </w:rPr>
        <w:t>Fundamentação Legal</w:t>
      </w:r>
    </w:p>
    <w:p w14:paraId="492B7E53" w14:textId="77777777" w:rsidR="004713B0" w:rsidRPr="00EF4685" w:rsidRDefault="004713B0" w:rsidP="00741865">
      <w:pPr>
        <w:jc w:val="both"/>
      </w:pPr>
      <w:r w:rsidRPr="00EF4685">
        <w:t xml:space="preserve">A obrigatoriedade de prestação de informações sobre meios de pagamento </w:t>
      </w:r>
      <w:r>
        <w:t xml:space="preserve">tem como principais marcos regulatórios </w:t>
      </w:r>
      <w:r w:rsidRPr="00EF4685">
        <w:t>os Atos COTEPE</w:t>
      </w:r>
      <w:r>
        <w:t>/</w:t>
      </w:r>
      <w:r w:rsidRPr="00EF4685">
        <w:t>ICMS nº 65/2018 e 63/2019, que:</w:t>
      </w:r>
    </w:p>
    <w:p w14:paraId="249A1DEE" w14:textId="77777777" w:rsidR="004713B0" w:rsidRPr="00EF4685" w:rsidRDefault="004713B0" w:rsidP="00741865">
      <w:pPr>
        <w:numPr>
          <w:ilvl w:val="0"/>
          <w:numId w:val="8"/>
        </w:numPr>
        <w:jc w:val="both"/>
      </w:pPr>
      <w:r w:rsidRPr="00EF4685">
        <w:lastRenderedPageBreak/>
        <w:t>Definem os leiautes, prazos e especificações técnicas para o envio das informações;</w:t>
      </w:r>
    </w:p>
    <w:p w14:paraId="477AFCE4" w14:textId="77777777" w:rsidR="004713B0" w:rsidRPr="00EF4685" w:rsidRDefault="004713B0" w:rsidP="00741865">
      <w:pPr>
        <w:numPr>
          <w:ilvl w:val="0"/>
          <w:numId w:val="8"/>
        </w:numPr>
        <w:jc w:val="both"/>
      </w:pPr>
      <w:r w:rsidRPr="00EF4685">
        <w:t>Atualizam e detalham procedimentos para padronização da entrega das informações às Secretarias de Fazenda dos Estados e do Distrito Federal;</w:t>
      </w:r>
    </w:p>
    <w:p w14:paraId="544490F7" w14:textId="77777777" w:rsidR="004713B0" w:rsidRPr="00EF4685" w:rsidRDefault="004713B0" w:rsidP="00741865">
      <w:pPr>
        <w:numPr>
          <w:ilvl w:val="0"/>
          <w:numId w:val="8"/>
        </w:numPr>
        <w:jc w:val="both"/>
      </w:pPr>
      <w:r w:rsidRPr="00EF4685">
        <w:t>Estabelecem o padrão nacional para as declarações relativas às operações com meios de pagamento eletrônicos;</w:t>
      </w:r>
    </w:p>
    <w:p w14:paraId="657A4146" w14:textId="77777777" w:rsidR="004713B0" w:rsidRPr="00EF4685" w:rsidRDefault="004713B0" w:rsidP="00741865">
      <w:pPr>
        <w:numPr>
          <w:ilvl w:val="0"/>
          <w:numId w:val="8"/>
        </w:numPr>
        <w:jc w:val="both"/>
      </w:pPr>
      <w:r w:rsidRPr="00EF4685">
        <w:t>Servem de base para que os estados instituam obrigações acessórias próprias, como a DIMP.</w:t>
      </w:r>
    </w:p>
    <w:p w14:paraId="1E2709B3" w14:textId="77777777" w:rsidR="004713B0" w:rsidRDefault="004713B0" w:rsidP="004713B0">
      <w:pPr>
        <w:rPr>
          <w:b/>
          <w:bCs/>
        </w:rPr>
      </w:pPr>
    </w:p>
    <w:p w14:paraId="4B9E7813" w14:textId="77777777" w:rsidR="008C127F" w:rsidRPr="00EF4685" w:rsidRDefault="008C127F" w:rsidP="008C127F">
      <w:pPr>
        <w:rPr>
          <w:b/>
          <w:bCs/>
        </w:rPr>
      </w:pPr>
      <w:r w:rsidRPr="00EF4685">
        <w:rPr>
          <w:b/>
          <w:bCs/>
        </w:rPr>
        <w:t>Acompanhamento e Fiscalização</w:t>
      </w:r>
    </w:p>
    <w:p w14:paraId="197145F3" w14:textId="77777777" w:rsidR="008C127F" w:rsidRPr="00EF4685" w:rsidRDefault="008C127F" w:rsidP="008C127F">
      <w:pPr>
        <w:jc w:val="both"/>
      </w:pPr>
      <w:r w:rsidRPr="00EF4685">
        <w:t>As informações da DIMP são integradas a sistemas de análise fiscal que realizam o cruzamento com:</w:t>
      </w:r>
    </w:p>
    <w:p w14:paraId="299534F9" w14:textId="77777777" w:rsidR="008C127F" w:rsidRPr="00EF4685" w:rsidRDefault="008C127F" w:rsidP="008C127F">
      <w:pPr>
        <w:numPr>
          <w:ilvl w:val="0"/>
          <w:numId w:val="9"/>
        </w:numPr>
        <w:jc w:val="both"/>
      </w:pPr>
      <w:r w:rsidRPr="00EF4685">
        <w:t>Documentos fiscais eletrônicos (NFC-e, NF-e, entre outros);</w:t>
      </w:r>
    </w:p>
    <w:p w14:paraId="5C1E090D" w14:textId="77777777" w:rsidR="008C127F" w:rsidRPr="00EF4685" w:rsidRDefault="008C127F" w:rsidP="008C127F">
      <w:pPr>
        <w:numPr>
          <w:ilvl w:val="0"/>
          <w:numId w:val="9"/>
        </w:numPr>
        <w:jc w:val="both"/>
      </w:pPr>
      <w:r w:rsidRPr="00EF4685">
        <w:t>Declarações periódicas dos contribuintes;</w:t>
      </w:r>
    </w:p>
    <w:p w14:paraId="074E1456" w14:textId="77777777" w:rsidR="008C127F" w:rsidRPr="00EF4685" w:rsidRDefault="008C127F" w:rsidP="008C127F">
      <w:pPr>
        <w:numPr>
          <w:ilvl w:val="0"/>
          <w:numId w:val="9"/>
        </w:numPr>
        <w:jc w:val="both"/>
      </w:pPr>
      <w:r w:rsidRPr="00EF4685">
        <w:t>Dados de movimentação financeira;</w:t>
      </w:r>
    </w:p>
    <w:p w14:paraId="596EEE33" w14:textId="77777777" w:rsidR="008C127F" w:rsidRPr="00EF4685" w:rsidRDefault="008C127F" w:rsidP="008C127F">
      <w:pPr>
        <w:numPr>
          <w:ilvl w:val="0"/>
          <w:numId w:val="9"/>
        </w:numPr>
        <w:jc w:val="both"/>
      </w:pPr>
      <w:r w:rsidRPr="00EF4685">
        <w:t>Outras bases públicas e privadas.</w:t>
      </w:r>
    </w:p>
    <w:p w14:paraId="0FB4F4E5" w14:textId="5D8D0245" w:rsidR="008C127F" w:rsidRPr="00EF4685" w:rsidRDefault="008C127F" w:rsidP="008C127F">
      <w:pPr>
        <w:jc w:val="both"/>
      </w:pPr>
      <w:r>
        <w:t xml:space="preserve">Essas análises permitem </w:t>
      </w:r>
      <w:r w:rsidR="00DD0D9A">
        <w:t>à</w:t>
      </w:r>
      <w:r>
        <w:t xml:space="preserve"> Receita Estadual </w:t>
      </w:r>
      <w:r w:rsidRPr="00EF4685">
        <w:t>identificar:</w:t>
      </w:r>
    </w:p>
    <w:p w14:paraId="2C23AAEB" w14:textId="77777777" w:rsidR="008C127F" w:rsidRPr="00EF4685" w:rsidRDefault="008C127F" w:rsidP="008C127F">
      <w:pPr>
        <w:numPr>
          <w:ilvl w:val="0"/>
          <w:numId w:val="10"/>
        </w:numPr>
        <w:jc w:val="both"/>
      </w:pPr>
      <w:r w:rsidRPr="00EF4685">
        <w:t>Omissões de receita;</w:t>
      </w:r>
    </w:p>
    <w:p w14:paraId="6F60B5E9" w14:textId="77777777" w:rsidR="008C127F" w:rsidRPr="00EF4685" w:rsidRDefault="008C127F" w:rsidP="008C127F">
      <w:pPr>
        <w:numPr>
          <w:ilvl w:val="0"/>
          <w:numId w:val="10"/>
        </w:numPr>
        <w:jc w:val="both"/>
      </w:pPr>
      <w:r w:rsidRPr="00EF4685">
        <w:t>Divergências entre valores movimentados e declarados;</w:t>
      </w:r>
    </w:p>
    <w:p w14:paraId="6C2FA2DA" w14:textId="77777777" w:rsidR="008C127F" w:rsidRPr="00EF4685" w:rsidRDefault="008C127F" w:rsidP="008C127F">
      <w:pPr>
        <w:numPr>
          <w:ilvl w:val="0"/>
          <w:numId w:val="10"/>
        </w:numPr>
        <w:jc w:val="both"/>
      </w:pPr>
      <w:r w:rsidRPr="00EF4685">
        <w:t xml:space="preserve">Práticas irregulares </w:t>
      </w:r>
      <w:r>
        <w:t>na</w:t>
      </w:r>
      <w:r w:rsidRPr="00EF4685">
        <w:t xml:space="preserve"> emissão de notas</w:t>
      </w:r>
      <w:r>
        <w:t xml:space="preserve"> fiscais</w:t>
      </w:r>
      <w:r w:rsidRPr="00EF4685">
        <w:t>;</w:t>
      </w:r>
    </w:p>
    <w:p w14:paraId="7A878518" w14:textId="77777777" w:rsidR="008C127F" w:rsidRPr="00EF4685" w:rsidRDefault="008C127F" w:rsidP="008C127F">
      <w:pPr>
        <w:numPr>
          <w:ilvl w:val="0"/>
          <w:numId w:val="10"/>
        </w:numPr>
        <w:jc w:val="both"/>
      </w:pPr>
      <w:r w:rsidRPr="00EF4685">
        <w:t>Indícios de fraude ou simulação.</w:t>
      </w:r>
    </w:p>
    <w:p w14:paraId="6611956E" w14:textId="77777777" w:rsidR="008C127F" w:rsidRDefault="008C127F" w:rsidP="004713B0">
      <w:pPr>
        <w:rPr>
          <w:b/>
          <w:bCs/>
        </w:rPr>
      </w:pPr>
    </w:p>
    <w:p w14:paraId="5AABE7C0" w14:textId="77777777" w:rsidR="004713B0" w:rsidRPr="00EF4685" w:rsidRDefault="004713B0" w:rsidP="004713B0">
      <w:pPr>
        <w:rPr>
          <w:b/>
          <w:bCs/>
        </w:rPr>
      </w:pPr>
      <w:r w:rsidRPr="00EF4685">
        <w:rPr>
          <w:b/>
          <w:bCs/>
        </w:rPr>
        <w:t>Finalidade da DIMP</w:t>
      </w:r>
    </w:p>
    <w:p w14:paraId="0FE694C8" w14:textId="77777777" w:rsidR="004713B0" w:rsidRPr="00EF4685" w:rsidRDefault="004713B0" w:rsidP="004713B0">
      <w:pPr>
        <w:jc w:val="both"/>
      </w:pPr>
      <w:r w:rsidRPr="00EF4685">
        <w:t>A DIMP tem papel estratégico para a administração tributária. Seus principais objetivos são:</w:t>
      </w:r>
    </w:p>
    <w:p w14:paraId="1BE682F1" w14:textId="77777777" w:rsidR="004713B0" w:rsidRPr="00EF4685" w:rsidRDefault="004713B0" w:rsidP="00741865">
      <w:pPr>
        <w:numPr>
          <w:ilvl w:val="0"/>
          <w:numId w:val="11"/>
        </w:numPr>
        <w:jc w:val="both"/>
      </w:pPr>
      <w:r w:rsidRPr="00EF4685">
        <w:t>Aumentar a rastreabilidade das operações comerciais;</w:t>
      </w:r>
    </w:p>
    <w:p w14:paraId="753A198F" w14:textId="77777777" w:rsidR="004713B0" w:rsidRPr="00EF4685" w:rsidRDefault="004713B0" w:rsidP="00741865">
      <w:pPr>
        <w:numPr>
          <w:ilvl w:val="0"/>
          <w:numId w:val="11"/>
        </w:numPr>
        <w:jc w:val="both"/>
      </w:pPr>
      <w:r w:rsidRPr="00EF4685">
        <w:t>Combater a sonegação e a concorrência desleal;</w:t>
      </w:r>
    </w:p>
    <w:p w14:paraId="50F38420" w14:textId="77777777" w:rsidR="004713B0" w:rsidRPr="00EF4685" w:rsidRDefault="004713B0" w:rsidP="00741865">
      <w:pPr>
        <w:numPr>
          <w:ilvl w:val="0"/>
          <w:numId w:val="11"/>
        </w:numPr>
        <w:jc w:val="both"/>
      </w:pPr>
      <w:r w:rsidRPr="00EF4685">
        <w:lastRenderedPageBreak/>
        <w:t>Promover justiça fiscal entre os contribuintes;</w:t>
      </w:r>
    </w:p>
    <w:p w14:paraId="29209F29" w14:textId="77777777" w:rsidR="004713B0" w:rsidRPr="00EF4685" w:rsidRDefault="004713B0" w:rsidP="00741865">
      <w:pPr>
        <w:numPr>
          <w:ilvl w:val="0"/>
          <w:numId w:val="11"/>
        </w:numPr>
        <w:jc w:val="both"/>
      </w:pPr>
      <w:r w:rsidRPr="00EF4685">
        <w:t>Apoiar políticas públicas baseadas em dados reais do mercado;</w:t>
      </w:r>
    </w:p>
    <w:p w14:paraId="6386B212" w14:textId="77777777" w:rsidR="004713B0" w:rsidRPr="00EF4685" w:rsidRDefault="004713B0" w:rsidP="00741865">
      <w:pPr>
        <w:numPr>
          <w:ilvl w:val="0"/>
          <w:numId w:val="11"/>
        </w:numPr>
        <w:jc w:val="both"/>
      </w:pPr>
      <w:r w:rsidRPr="00EF4685">
        <w:t>Incentivar a adoção de meios eletrônicos de pagamento mais seguros e auditáveis.</w:t>
      </w:r>
    </w:p>
    <w:p w14:paraId="416A5600" w14:textId="77777777" w:rsidR="004713B0" w:rsidRDefault="004713B0" w:rsidP="004713B0">
      <w:pPr>
        <w:rPr>
          <w:b/>
          <w:bCs/>
        </w:rPr>
      </w:pPr>
    </w:p>
    <w:sectPr w:rsidR="004713B0" w:rsidSect="007175DE">
      <w:headerReference w:type="default" r:id="rId10"/>
      <w:footerReference w:type="default" r:id="rId11"/>
      <w:pgSz w:w="11906" w:h="16838"/>
      <w:pgMar w:top="1417" w:right="1701" w:bottom="141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BAE3" w14:textId="77777777" w:rsidR="000E4CCF" w:rsidRDefault="000E4CCF" w:rsidP="00B8423C">
      <w:pPr>
        <w:spacing w:after="0" w:line="240" w:lineRule="auto"/>
      </w:pPr>
      <w:r>
        <w:separator/>
      </w:r>
    </w:p>
  </w:endnote>
  <w:endnote w:type="continuationSeparator" w:id="0">
    <w:p w14:paraId="6822DE17" w14:textId="77777777" w:rsidR="000E4CCF" w:rsidRDefault="000E4CCF" w:rsidP="00B8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9258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FF7502" w14:textId="6F1FA212" w:rsidR="00FC4355" w:rsidRDefault="00FC4355" w:rsidP="007175DE">
            <w:pPr>
              <w:pStyle w:val="Rodap"/>
              <w:jc w:val="center"/>
            </w:pPr>
            <w:r w:rsidRPr="00FC4355">
              <w:t xml:space="preserve">Página </w:t>
            </w:r>
            <w:r w:rsidRPr="00FC4355">
              <w:fldChar w:fldCharType="begin"/>
            </w:r>
            <w:r w:rsidRPr="00FC4355">
              <w:instrText>PAGE</w:instrText>
            </w:r>
            <w:r w:rsidRPr="00FC4355">
              <w:fldChar w:fldCharType="separate"/>
            </w:r>
            <w:r w:rsidRPr="00FC4355">
              <w:t>2</w:t>
            </w:r>
            <w:r w:rsidRPr="00FC4355">
              <w:fldChar w:fldCharType="end"/>
            </w:r>
            <w:r w:rsidRPr="00FC4355">
              <w:t xml:space="preserve"> de </w:t>
            </w:r>
            <w:r w:rsidRPr="00FC4355">
              <w:fldChar w:fldCharType="begin"/>
            </w:r>
            <w:r w:rsidRPr="00FC4355">
              <w:instrText>NUMPAGES</w:instrText>
            </w:r>
            <w:r w:rsidRPr="00FC4355">
              <w:fldChar w:fldCharType="separate"/>
            </w:r>
            <w:r w:rsidRPr="00FC4355">
              <w:t>2</w:t>
            </w:r>
            <w:r w:rsidRPr="00FC4355">
              <w:fldChar w:fldCharType="end"/>
            </w:r>
          </w:p>
        </w:sdtContent>
      </w:sdt>
    </w:sdtContent>
  </w:sdt>
  <w:p w14:paraId="664CBA01" w14:textId="77777777" w:rsidR="00FC4355" w:rsidRDefault="00FC43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09FB" w14:textId="77777777" w:rsidR="000E4CCF" w:rsidRDefault="000E4CCF" w:rsidP="00B8423C">
      <w:pPr>
        <w:spacing w:after="0" w:line="240" w:lineRule="auto"/>
      </w:pPr>
      <w:r>
        <w:separator/>
      </w:r>
    </w:p>
  </w:footnote>
  <w:footnote w:type="continuationSeparator" w:id="0">
    <w:p w14:paraId="37654322" w14:textId="77777777" w:rsidR="000E4CCF" w:rsidRDefault="000E4CCF" w:rsidP="00B8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50" w:type="dxa"/>
      <w:jc w:val="center"/>
      <w:tblLook w:val="04A0" w:firstRow="1" w:lastRow="0" w:firstColumn="1" w:lastColumn="0" w:noHBand="0" w:noVBand="1"/>
    </w:tblPr>
    <w:tblGrid>
      <w:gridCol w:w="3527"/>
      <w:gridCol w:w="4823"/>
    </w:tblGrid>
    <w:tr w:rsidR="00B8423C" w14:paraId="342A28BB" w14:textId="77777777" w:rsidTr="1D5D8565">
      <w:trPr>
        <w:trHeight w:val="1189"/>
        <w:jc w:val="center"/>
      </w:trPr>
      <w:tc>
        <w:tcPr>
          <w:tcW w:w="3527" w:type="dxa"/>
          <w:tcBorders>
            <w:right w:val="single" w:sz="12" w:space="0" w:color="ED7D31"/>
          </w:tcBorders>
          <w:shd w:val="clear" w:color="auto" w:fill="auto"/>
        </w:tcPr>
        <w:p w14:paraId="7200615C" w14:textId="3447620B" w:rsidR="00B8423C" w:rsidRPr="000D6372" w:rsidRDefault="00B8423C" w:rsidP="00B8423C">
          <w:pPr>
            <w:pStyle w:val="Cabealho"/>
            <w:ind w:right="-568"/>
            <w:rPr>
              <w:sz w:val="14"/>
            </w:rPr>
          </w:pPr>
          <w:r w:rsidRPr="000D6372">
            <w:rPr>
              <w:rFonts w:ascii="Trebuchet MS" w:hAnsi="Trebuchet MS"/>
              <w:noProof/>
            </w:rPr>
            <w:drawing>
              <wp:inline distT="0" distB="0" distL="0" distR="0" wp14:anchorId="6D067783" wp14:editId="19F4366F">
                <wp:extent cx="791210" cy="987425"/>
                <wp:effectExtent l="0" t="0" r="8890" b="3175"/>
                <wp:docPr id="477972926" name="Imagem 2" descr="brasao_r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ao_r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1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D6372">
            <w:rPr>
              <w:sz w:val="14"/>
            </w:rPr>
            <w:t xml:space="preserve">         </w:t>
          </w:r>
          <w:r w:rsidRPr="00863D44">
            <w:rPr>
              <w:noProof/>
            </w:rPr>
            <w:drawing>
              <wp:inline distT="0" distB="0" distL="0" distR="0" wp14:anchorId="2C23BC6D" wp14:editId="50BED745">
                <wp:extent cx="880745" cy="819150"/>
                <wp:effectExtent l="0" t="0" r="0" b="0"/>
                <wp:docPr id="1928003707" name="Imagem 1" descr="Z:\Projeto Execução do Plano de Comunicação Interna da RE\Produto 17 - Manual de Identidade Visual\Produtos - Versão Final\Versão Final Subsecretário\11) Logo RE - 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Z:\Projeto Execução do Plano de Comunicação Interna da RE\Produto 17 - Manual de Identidade Visual\Produtos - Versão Final\Versão Final Subsecretário\11) Logo RE - 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69" t="11720" r="6250" b="6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74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3" w:type="dxa"/>
          <w:tcBorders>
            <w:left w:val="single" w:sz="12" w:space="0" w:color="ED7D31"/>
          </w:tcBorders>
          <w:shd w:val="clear" w:color="auto" w:fill="auto"/>
          <w:vAlign w:val="center"/>
        </w:tcPr>
        <w:p w14:paraId="13A3F65E" w14:textId="77777777" w:rsidR="00B8423C" w:rsidRPr="000D6372" w:rsidRDefault="00B8423C" w:rsidP="00B8423C">
          <w:pPr>
            <w:pStyle w:val="Cabealhoofcio"/>
            <w:ind w:left="319" w:right="64"/>
            <w:rPr>
              <w:rFonts w:cs="Arial"/>
              <w:b/>
              <w:color w:val="1F3864"/>
              <w:sz w:val="8"/>
              <w:szCs w:val="4"/>
            </w:rPr>
          </w:pPr>
        </w:p>
        <w:p w14:paraId="142F3603" w14:textId="77777777" w:rsidR="00B8423C" w:rsidRPr="000D6372" w:rsidRDefault="00B8423C" w:rsidP="00B8423C">
          <w:pPr>
            <w:pStyle w:val="Cabealhoofcio"/>
            <w:ind w:left="319" w:right="64"/>
            <w:rPr>
              <w:rFonts w:cs="Arial"/>
              <w:b/>
              <w:color w:val="1F3864"/>
              <w:sz w:val="28"/>
              <w:szCs w:val="24"/>
            </w:rPr>
          </w:pPr>
          <w:r w:rsidRPr="000D6372">
            <w:rPr>
              <w:rFonts w:cs="Arial"/>
              <w:b/>
              <w:color w:val="1F3864"/>
              <w:sz w:val="28"/>
              <w:szCs w:val="24"/>
            </w:rPr>
            <w:t>Estado do Rio Grande do Sul</w:t>
          </w:r>
        </w:p>
        <w:p w14:paraId="7237DDF7" w14:textId="77777777" w:rsidR="00B8423C" w:rsidRPr="000D6372" w:rsidRDefault="00B8423C" w:rsidP="00B8423C">
          <w:pPr>
            <w:pStyle w:val="Cabealhoofcio"/>
            <w:ind w:left="319" w:right="64"/>
            <w:rPr>
              <w:rFonts w:cs="Arial"/>
              <w:b/>
              <w:color w:val="1F3864"/>
              <w:sz w:val="28"/>
              <w:szCs w:val="24"/>
            </w:rPr>
          </w:pPr>
          <w:r w:rsidRPr="000D6372">
            <w:rPr>
              <w:rFonts w:cs="Arial"/>
              <w:b/>
              <w:color w:val="1F3864"/>
              <w:sz w:val="28"/>
              <w:szCs w:val="24"/>
            </w:rPr>
            <w:t>Secretaria da Fazenda</w:t>
          </w:r>
        </w:p>
        <w:p w14:paraId="644B3481" w14:textId="77777777" w:rsidR="00B8423C" w:rsidRPr="000D6372" w:rsidRDefault="00B8423C" w:rsidP="00B8423C">
          <w:pPr>
            <w:pStyle w:val="Cabealho"/>
            <w:ind w:left="319" w:right="-568"/>
            <w:rPr>
              <w:sz w:val="14"/>
            </w:rPr>
          </w:pPr>
          <w:r w:rsidRPr="000D6372">
            <w:rPr>
              <w:rFonts w:ascii="Arial" w:hAnsi="Arial" w:cs="Arial"/>
              <w:b/>
              <w:color w:val="1F3864"/>
              <w:sz w:val="28"/>
            </w:rPr>
            <w:t>Receita Estadual</w:t>
          </w:r>
        </w:p>
      </w:tc>
    </w:tr>
  </w:tbl>
  <w:p w14:paraId="37456BB8" w14:textId="77777777" w:rsidR="00B8423C" w:rsidRDefault="00B8423C">
    <w:pPr>
      <w:pStyle w:val="Cabealho"/>
    </w:pPr>
  </w:p>
  <w:p w14:paraId="35C0DFB7" w14:textId="77777777" w:rsidR="008D5774" w:rsidRDefault="008D5774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ibsvmUCE6Sc0D" int2:id="86tMBeW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72F"/>
    <w:multiLevelType w:val="hybridMultilevel"/>
    <w:tmpl w:val="ED98897E"/>
    <w:lvl w:ilvl="0" w:tplc="1EC60A1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465EA"/>
    <w:multiLevelType w:val="multilevel"/>
    <w:tmpl w:val="437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63B8A"/>
    <w:multiLevelType w:val="multilevel"/>
    <w:tmpl w:val="BB1A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ECA"/>
    <w:multiLevelType w:val="hybridMultilevel"/>
    <w:tmpl w:val="AD4A988E"/>
    <w:lvl w:ilvl="0" w:tplc="0416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3507137"/>
    <w:multiLevelType w:val="multilevel"/>
    <w:tmpl w:val="264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43DD9"/>
    <w:multiLevelType w:val="hybridMultilevel"/>
    <w:tmpl w:val="A1A22DE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E4A24"/>
    <w:multiLevelType w:val="multilevel"/>
    <w:tmpl w:val="2AE6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E37789"/>
    <w:multiLevelType w:val="multilevel"/>
    <w:tmpl w:val="2586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16BD2"/>
    <w:multiLevelType w:val="multilevel"/>
    <w:tmpl w:val="4094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B705C"/>
    <w:multiLevelType w:val="multilevel"/>
    <w:tmpl w:val="8694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964860">
    <w:abstractNumId w:val="0"/>
  </w:num>
  <w:num w:numId="2" w16cid:durableId="238104869">
    <w:abstractNumId w:val="5"/>
  </w:num>
  <w:num w:numId="3" w16cid:durableId="512498540">
    <w:abstractNumId w:val="3"/>
  </w:num>
  <w:num w:numId="4" w16cid:durableId="180894034">
    <w:abstractNumId w:val="0"/>
    <w:lvlOverride w:ilvl="0">
      <w:lvl w:ilvl="0" w:tplc="1EC60A1A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6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6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6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6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6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6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6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6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343561060">
    <w:abstractNumId w:val="7"/>
  </w:num>
  <w:num w:numId="6" w16cid:durableId="732503302">
    <w:abstractNumId w:val="8"/>
  </w:num>
  <w:num w:numId="7" w16cid:durableId="935986373">
    <w:abstractNumId w:val="1"/>
  </w:num>
  <w:num w:numId="8" w16cid:durableId="1455977360">
    <w:abstractNumId w:val="2"/>
  </w:num>
  <w:num w:numId="9" w16cid:durableId="48967334">
    <w:abstractNumId w:val="4"/>
  </w:num>
  <w:num w:numId="10" w16cid:durableId="59180882">
    <w:abstractNumId w:val="6"/>
  </w:num>
  <w:num w:numId="11" w16cid:durableId="1786847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87"/>
    <w:rsid w:val="000050EA"/>
    <w:rsid w:val="0000515A"/>
    <w:rsid w:val="00025A77"/>
    <w:rsid w:val="0002708C"/>
    <w:rsid w:val="000323EB"/>
    <w:rsid w:val="00032D73"/>
    <w:rsid w:val="000369CD"/>
    <w:rsid w:val="00037126"/>
    <w:rsid w:val="00037FEA"/>
    <w:rsid w:val="00065454"/>
    <w:rsid w:val="0008080C"/>
    <w:rsid w:val="00092CE7"/>
    <w:rsid w:val="000934C0"/>
    <w:rsid w:val="000A08C1"/>
    <w:rsid w:val="000A3537"/>
    <w:rsid w:val="000A703F"/>
    <w:rsid w:val="000B0381"/>
    <w:rsid w:val="000B52F4"/>
    <w:rsid w:val="000B6E49"/>
    <w:rsid w:val="000E4CCF"/>
    <w:rsid w:val="000E7B0B"/>
    <w:rsid w:val="00106C79"/>
    <w:rsid w:val="00141907"/>
    <w:rsid w:val="0014238C"/>
    <w:rsid w:val="00160F83"/>
    <w:rsid w:val="00161074"/>
    <w:rsid w:val="00175F1E"/>
    <w:rsid w:val="001817D7"/>
    <w:rsid w:val="00194601"/>
    <w:rsid w:val="001B47D4"/>
    <w:rsid w:val="001C4591"/>
    <w:rsid w:val="001E5F84"/>
    <w:rsid w:val="001F2BF7"/>
    <w:rsid w:val="00200013"/>
    <w:rsid w:val="002223E8"/>
    <w:rsid w:val="00232A67"/>
    <w:rsid w:val="002645CA"/>
    <w:rsid w:val="0026615C"/>
    <w:rsid w:val="002A2FD4"/>
    <w:rsid w:val="002B1F9F"/>
    <w:rsid w:val="002C4B57"/>
    <w:rsid w:val="002D66BE"/>
    <w:rsid w:val="002D705C"/>
    <w:rsid w:val="00300D77"/>
    <w:rsid w:val="00303773"/>
    <w:rsid w:val="00321275"/>
    <w:rsid w:val="00347DB7"/>
    <w:rsid w:val="00370BB8"/>
    <w:rsid w:val="00371033"/>
    <w:rsid w:val="00396303"/>
    <w:rsid w:val="003C13B4"/>
    <w:rsid w:val="003C425A"/>
    <w:rsid w:val="003C4EB7"/>
    <w:rsid w:val="003E66E5"/>
    <w:rsid w:val="003E7CE4"/>
    <w:rsid w:val="00400A57"/>
    <w:rsid w:val="00407846"/>
    <w:rsid w:val="004149A3"/>
    <w:rsid w:val="00421848"/>
    <w:rsid w:val="00432CE3"/>
    <w:rsid w:val="00435E7E"/>
    <w:rsid w:val="004423EF"/>
    <w:rsid w:val="0045183B"/>
    <w:rsid w:val="004578C6"/>
    <w:rsid w:val="0046190D"/>
    <w:rsid w:val="004642C1"/>
    <w:rsid w:val="00467791"/>
    <w:rsid w:val="004713B0"/>
    <w:rsid w:val="004727F7"/>
    <w:rsid w:val="0049121F"/>
    <w:rsid w:val="004C0F77"/>
    <w:rsid w:val="004D6040"/>
    <w:rsid w:val="004D6215"/>
    <w:rsid w:val="004D7097"/>
    <w:rsid w:val="004F0E15"/>
    <w:rsid w:val="004F7DE0"/>
    <w:rsid w:val="005132B8"/>
    <w:rsid w:val="005147EE"/>
    <w:rsid w:val="005161ED"/>
    <w:rsid w:val="00526442"/>
    <w:rsid w:val="0055540B"/>
    <w:rsid w:val="0056381E"/>
    <w:rsid w:val="00571CDD"/>
    <w:rsid w:val="00574E5C"/>
    <w:rsid w:val="00585E0A"/>
    <w:rsid w:val="0059718F"/>
    <w:rsid w:val="005B0824"/>
    <w:rsid w:val="005F23F0"/>
    <w:rsid w:val="00622CFC"/>
    <w:rsid w:val="00625793"/>
    <w:rsid w:val="0063734E"/>
    <w:rsid w:val="006405BA"/>
    <w:rsid w:val="0065306C"/>
    <w:rsid w:val="00661221"/>
    <w:rsid w:val="00672F30"/>
    <w:rsid w:val="00674131"/>
    <w:rsid w:val="00683A23"/>
    <w:rsid w:val="00693AE8"/>
    <w:rsid w:val="006A1DA5"/>
    <w:rsid w:val="006B5010"/>
    <w:rsid w:val="006B5738"/>
    <w:rsid w:val="006C7B7E"/>
    <w:rsid w:val="006E4740"/>
    <w:rsid w:val="006F0EF9"/>
    <w:rsid w:val="006F6B70"/>
    <w:rsid w:val="0070540D"/>
    <w:rsid w:val="007175DE"/>
    <w:rsid w:val="007244FE"/>
    <w:rsid w:val="00725620"/>
    <w:rsid w:val="007275F0"/>
    <w:rsid w:val="00734A8A"/>
    <w:rsid w:val="00737639"/>
    <w:rsid w:val="00740D95"/>
    <w:rsid w:val="00741865"/>
    <w:rsid w:val="00746560"/>
    <w:rsid w:val="00756C65"/>
    <w:rsid w:val="00762D4D"/>
    <w:rsid w:val="00770C95"/>
    <w:rsid w:val="00787BE7"/>
    <w:rsid w:val="007917C1"/>
    <w:rsid w:val="00796B2B"/>
    <w:rsid w:val="007B7834"/>
    <w:rsid w:val="007C0897"/>
    <w:rsid w:val="007E3052"/>
    <w:rsid w:val="007E474B"/>
    <w:rsid w:val="007E615D"/>
    <w:rsid w:val="007E67E9"/>
    <w:rsid w:val="007F2848"/>
    <w:rsid w:val="007F2A87"/>
    <w:rsid w:val="007F2F39"/>
    <w:rsid w:val="00837468"/>
    <w:rsid w:val="00843A70"/>
    <w:rsid w:val="00851D09"/>
    <w:rsid w:val="00852EA6"/>
    <w:rsid w:val="008610B8"/>
    <w:rsid w:val="00871E40"/>
    <w:rsid w:val="008916D3"/>
    <w:rsid w:val="008B3E70"/>
    <w:rsid w:val="008B628E"/>
    <w:rsid w:val="008C127F"/>
    <w:rsid w:val="008D16FB"/>
    <w:rsid w:val="008D5774"/>
    <w:rsid w:val="008F387D"/>
    <w:rsid w:val="0090042F"/>
    <w:rsid w:val="009006B0"/>
    <w:rsid w:val="009045A8"/>
    <w:rsid w:val="009078AA"/>
    <w:rsid w:val="0092220D"/>
    <w:rsid w:val="0093593A"/>
    <w:rsid w:val="0095152D"/>
    <w:rsid w:val="00966EE4"/>
    <w:rsid w:val="009756B2"/>
    <w:rsid w:val="00984610"/>
    <w:rsid w:val="00993852"/>
    <w:rsid w:val="00997E8D"/>
    <w:rsid w:val="009A3ACD"/>
    <w:rsid w:val="009B554A"/>
    <w:rsid w:val="009C40FC"/>
    <w:rsid w:val="009D31EC"/>
    <w:rsid w:val="009D6199"/>
    <w:rsid w:val="009D6805"/>
    <w:rsid w:val="009E3CE9"/>
    <w:rsid w:val="009F0E97"/>
    <w:rsid w:val="009F366A"/>
    <w:rsid w:val="00A02D68"/>
    <w:rsid w:val="00A11569"/>
    <w:rsid w:val="00A116FA"/>
    <w:rsid w:val="00A13B95"/>
    <w:rsid w:val="00A3170E"/>
    <w:rsid w:val="00A3494A"/>
    <w:rsid w:val="00A50E29"/>
    <w:rsid w:val="00A51BD5"/>
    <w:rsid w:val="00A651F2"/>
    <w:rsid w:val="00A6606B"/>
    <w:rsid w:val="00A67E2A"/>
    <w:rsid w:val="00A71743"/>
    <w:rsid w:val="00A7294F"/>
    <w:rsid w:val="00AA4805"/>
    <w:rsid w:val="00AA50E9"/>
    <w:rsid w:val="00AC267E"/>
    <w:rsid w:val="00AC6027"/>
    <w:rsid w:val="00AE0004"/>
    <w:rsid w:val="00AE06A8"/>
    <w:rsid w:val="00AF21D2"/>
    <w:rsid w:val="00B13963"/>
    <w:rsid w:val="00B23112"/>
    <w:rsid w:val="00B24A5D"/>
    <w:rsid w:val="00B278B3"/>
    <w:rsid w:val="00B318DA"/>
    <w:rsid w:val="00B46549"/>
    <w:rsid w:val="00B603EE"/>
    <w:rsid w:val="00B8423C"/>
    <w:rsid w:val="00B958AD"/>
    <w:rsid w:val="00B96608"/>
    <w:rsid w:val="00BB08CC"/>
    <w:rsid w:val="00BC0081"/>
    <w:rsid w:val="00BC1744"/>
    <w:rsid w:val="00BD3670"/>
    <w:rsid w:val="00BE5040"/>
    <w:rsid w:val="00C019FA"/>
    <w:rsid w:val="00C722C9"/>
    <w:rsid w:val="00C770EC"/>
    <w:rsid w:val="00C77241"/>
    <w:rsid w:val="00C9262D"/>
    <w:rsid w:val="00C93ED2"/>
    <w:rsid w:val="00CC1F66"/>
    <w:rsid w:val="00CC259D"/>
    <w:rsid w:val="00CC2872"/>
    <w:rsid w:val="00CC61AF"/>
    <w:rsid w:val="00CD36B4"/>
    <w:rsid w:val="00CD3C73"/>
    <w:rsid w:val="00CD7D79"/>
    <w:rsid w:val="00CF2B5A"/>
    <w:rsid w:val="00D30094"/>
    <w:rsid w:val="00D31E45"/>
    <w:rsid w:val="00D34B00"/>
    <w:rsid w:val="00D34EB9"/>
    <w:rsid w:val="00D4088D"/>
    <w:rsid w:val="00D41233"/>
    <w:rsid w:val="00D4407C"/>
    <w:rsid w:val="00D564EC"/>
    <w:rsid w:val="00D72862"/>
    <w:rsid w:val="00D80E42"/>
    <w:rsid w:val="00DA26E4"/>
    <w:rsid w:val="00DD0D9A"/>
    <w:rsid w:val="00DD7EA6"/>
    <w:rsid w:val="00DF6F0D"/>
    <w:rsid w:val="00E34F3C"/>
    <w:rsid w:val="00E5317E"/>
    <w:rsid w:val="00E55C98"/>
    <w:rsid w:val="00E600AC"/>
    <w:rsid w:val="00E65B5B"/>
    <w:rsid w:val="00E81D56"/>
    <w:rsid w:val="00E869F0"/>
    <w:rsid w:val="00E90093"/>
    <w:rsid w:val="00EA73F0"/>
    <w:rsid w:val="00EB0471"/>
    <w:rsid w:val="00EB0EBB"/>
    <w:rsid w:val="00EB66D1"/>
    <w:rsid w:val="00ED22C7"/>
    <w:rsid w:val="00EE0232"/>
    <w:rsid w:val="00EE450E"/>
    <w:rsid w:val="00F10826"/>
    <w:rsid w:val="00F1317E"/>
    <w:rsid w:val="00F1409F"/>
    <w:rsid w:val="00F405CC"/>
    <w:rsid w:val="00F50946"/>
    <w:rsid w:val="00F51A07"/>
    <w:rsid w:val="00F525F8"/>
    <w:rsid w:val="00F54F53"/>
    <w:rsid w:val="00F705D7"/>
    <w:rsid w:val="00F72F1C"/>
    <w:rsid w:val="00F73830"/>
    <w:rsid w:val="00F8593B"/>
    <w:rsid w:val="00F87E69"/>
    <w:rsid w:val="00FB3FB1"/>
    <w:rsid w:val="00FC0356"/>
    <w:rsid w:val="00FC3BE1"/>
    <w:rsid w:val="00FC4355"/>
    <w:rsid w:val="00FD364B"/>
    <w:rsid w:val="00FD3C97"/>
    <w:rsid w:val="0BF59B34"/>
    <w:rsid w:val="17B83325"/>
    <w:rsid w:val="1D5D8565"/>
    <w:rsid w:val="2243F7A3"/>
    <w:rsid w:val="28DE7634"/>
    <w:rsid w:val="361DA8BC"/>
    <w:rsid w:val="37956A40"/>
    <w:rsid w:val="37C27102"/>
    <w:rsid w:val="37F9C77D"/>
    <w:rsid w:val="3A020C0E"/>
    <w:rsid w:val="3DB8F7BF"/>
    <w:rsid w:val="427DFA16"/>
    <w:rsid w:val="4710E764"/>
    <w:rsid w:val="4FD4E155"/>
    <w:rsid w:val="5C5BF179"/>
    <w:rsid w:val="5D520A4D"/>
    <w:rsid w:val="6345E348"/>
    <w:rsid w:val="695DC8CC"/>
    <w:rsid w:val="6BCFBC62"/>
    <w:rsid w:val="7027A5A3"/>
    <w:rsid w:val="70CE78FA"/>
    <w:rsid w:val="7651D567"/>
    <w:rsid w:val="7B9CFEF2"/>
    <w:rsid w:val="7DD5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F34D0"/>
  <w15:chartTrackingRefBased/>
  <w15:docId w15:val="{EE04869E-BD52-407D-8573-3A2D7EAF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B0"/>
  </w:style>
  <w:style w:type="paragraph" w:styleId="Ttulo1">
    <w:name w:val="heading 1"/>
    <w:basedOn w:val="Normal"/>
    <w:next w:val="Normal"/>
    <w:link w:val="Ttulo1Char"/>
    <w:uiPriority w:val="9"/>
    <w:qFormat/>
    <w:rsid w:val="007F2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2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2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2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2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2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2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2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2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2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2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2A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2A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2A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2A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2A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2A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2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2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2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2A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2A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2A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2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2A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2A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B038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038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41233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B84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423C"/>
  </w:style>
  <w:style w:type="paragraph" w:styleId="Rodap">
    <w:name w:val="footer"/>
    <w:basedOn w:val="Normal"/>
    <w:link w:val="RodapChar"/>
    <w:uiPriority w:val="99"/>
    <w:unhideWhenUsed/>
    <w:rsid w:val="00B842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423C"/>
  </w:style>
  <w:style w:type="paragraph" w:customStyle="1" w:styleId="Cabealhoofcio">
    <w:name w:val="Cabeçalho ofício"/>
    <w:basedOn w:val="Normal"/>
    <w:rsid w:val="00B842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3BD13BDB0D7844BB052D57DB43CABB" ma:contentTypeVersion="3" ma:contentTypeDescription="Crie um novo documento." ma:contentTypeScope="" ma:versionID="f1de6b4f1b2ac365cb77dd5b6adf6176">
  <xsd:schema xmlns:xsd="http://www.w3.org/2001/XMLSchema" xmlns:xs="http://www.w3.org/2001/XMLSchema" xmlns:p="http://schemas.microsoft.com/office/2006/metadata/properties" xmlns:ns2="0701aeb1-8b97-423f-9c3e-97ebc835f898" targetNamespace="http://schemas.microsoft.com/office/2006/metadata/properties" ma:root="true" ma:fieldsID="794f809663281bddd516d7474c2acc9a" ns2:_="">
    <xsd:import namespace="0701aeb1-8b97-423f-9c3e-97ebc835f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1aeb1-8b97-423f-9c3e-97ebc835f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024504-4B41-41B0-89C1-9F49DADFC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1aeb1-8b97-423f-9c3e-97ebc835f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B4C79-76F9-4875-811C-FE476B6ED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64DDB3-175B-4EAA-806D-F859CE12B5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Morales Rodrigues</dc:creator>
  <cp:keywords/>
  <dc:description/>
  <cp:lastModifiedBy>Ricardo Morales Rodrigues</cp:lastModifiedBy>
  <cp:revision>5</cp:revision>
  <dcterms:created xsi:type="dcterms:W3CDTF">2025-07-31T11:40:00Z</dcterms:created>
  <dcterms:modified xsi:type="dcterms:W3CDTF">2025-07-31T16:48:00Z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2025-06-18T20:00:37Z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ffca36b9-a7f3-4047-aec2-7ddc6b0fa703</vt:lpwstr>
  </property>
  <property fmtid="{D5CDD505-2E9C-101B-9397-08002B2CF9AE}" pid="8" name="MSIP_Label_aad1aa98-b4b6-4f6d-a238-eb87b534c92d_ContentBits">
    <vt:lpwstr>0</vt:lpwstr>
  </property>
  <property fmtid="{D5CDD505-2E9C-101B-9397-08002B2CF9AE}" pid="9" name="MSIP_Label_aad1aa98-b4b6-4f6d-a238-eb87b534c92d_Tag">
    <vt:lpwstr>10, 3, 0, 1</vt:lpwstr>
  </property>
  <property fmtid="{D5CDD505-2E9C-101B-9397-08002B2CF9AE}" pid="10" name="ContentTypeId">
    <vt:lpwstr>0x0101008C3BD13BDB0D7844BB052D57DB43CABB</vt:lpwstr>
  </property>
</Properties>
</file>